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sans détecteur</w:t>
      </w:r>
    </w:p>
    <w:p/>
    <w:p>
      <w:pPr/>
      <w:r>
        <w:rPr>
          <w:b w:val="1"/>
          <w:bCs w:val="1"/>
        </w:rPr>
        <w:t xml:space="preserve">LS 150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178 x 157 x 178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4007841069216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parking couvert / garage souterrain, tout autour du bâtiment, terrasse / balcon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Mur, angle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1375 lm</w:t>
      </w:r>
      <w:br/>
      <w:r>
        <w:rPr/>
        <w:t xml:space="preserve">• Flux lumineux mesure (360°): 1486 lm</w:t>
      </w:r>
      <w:br/>
      <w:r>
        <w:rPr/>
        <w:t xml:space="preserve">• Efficacité totale du produit: 94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Catègorie de produits: Projecteur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150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2026-06-20T01:04:01+02:00</dcterms:created>
  <dcterms:modified xsi:type="dcterms:W3CDTF">2026-06-20T01:04:01+02:00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